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R5-226590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5423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General ON/OFF time mask for inter-band CA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  <w:highlight w:val="yellow"/>
                </w:rPr>
                <w:t>TEI11_Test, LTE_CA_Rel12_2UL-UEConTest</w:t>
              </w:r>
              <w:r>
                <w:rPr>
                  <w:noProof/>
                </w:rPr>
                <w:t xml:space="preserve">  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RB configuration for 3M+5M, 1.4M+5M are incorrect.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configurations for 3M+5M, 1.4M+5M are corrected in Table 6.3.4A.1.2.4.1-1.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RB configuration for 3M+5M, 1.4M+5M will remain incorrect.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6.3.4A.1.2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r1 – 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deleted AI number from Work Item Code row.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Changed WIC to TEI11_Test, LTE_CA_Rel12_2UL-UEConTest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5"/>
      </w:pPr>
      <w:r>
        <w:t>6.3.4A.1.2</w:t>
      </w:r>
      <w:r>
        <w:tab/>
        <w:t>General ON/OFF time mask for CA (inter-band DL CA and UL CA)</w:t>
      </w:r>
    </w:p>
    <w:p>
      <w:pPr>
        <w:pStyle w:val="H6"/>
      </w:pPr>
      <w:r>
        <w:t>6.3.4A.1.2.1</w:t>
      </w:r>
      <w:r>
        <w:tab/>
        <w:t>Test purpose</w:t>
      </w:r>
    </w:p>
    <w:p>
      <w:r>
        <w:t>To verify that the general ON/OFF time mask for CA meets the requirements given in 6.3.4A.1.</w:t>
      </w:r>
      <w:r>
        <w:rPr>
          <w:lang w:eastAsia="ja-JP"/>
        </w:rPr>
        <w:t>2</w:t>
      </w:r>
      <w:r>
        <w:t>.5.</w:t>
      </w:r>
    </w:p>
    <w:p>
      <w:r>
        <w:t>The time mask for transmit ON/OFF for CA defines the ramping time allowed for the UE between transmit OFF power and transmit ON power for CA.</w:t>
      </w:r>
    </w:p>
    <w:p>
      <w:r>
        <w:t xml:space="preserve">Transmission of the wrong power increases interference to other </w:t>
      </w:r>
      <w:proofErr w:type="gramStart"/>
      <w:r>
        <w:t>channels, or</w:t>
      </w:r>
      <w:proofErr w:type="gramEnd"/>
      <w:r>
        <w:t xml:space="preserve"> increases transmission errors in the uplink channel.</w:t>
      </w:r>
    </w:p>
    <w:p>
      <w:pPr>
        <w:pStyle w:val="H6"/>
      </w:pPr>
      <w:r>
        <w:t>6.3.4A.1.2.2</w:t>
      </w:r>
      <w:r>
        <w:tab/>
        <w:t>Test applicability</w:t>
      </w:r>
    </w:p>
    <w:p>
      <w:r>
        <w:t>This test case applies to all types of E-UTRA UE release 11 and forward that support int</w:t>
      </w:r>
      <w:r>
        <w:rPr>
          <w:lang w:eastAsia="ja-JP"/>
        </w:rPr>
        <w:t>e</w:t>
      </w:r>
      <w:r>
        <w:t>r</w:t>
      </w:r>
      <w:r>
        <w:rPr>
          <w:lang w:eastAsia="ja-JP"/>
        </w:rPr>
        <w:t>-</w:t>
      </w:r>
      <w:r>
        <w:t>band DL CA and UL CA.</w:t>
      </w:r>
    </w:p>
    <w:p>
      <w:pPr>
        <w:pStyle w:val="H6"/>
      </w:pPr>
      <w:r>
        <w:t>6.3.4A.1.2.3</w:t>
      </w:r>
      <w:r>
        <w:tab/>
        <w:t>Minimum conformance requirements</w:t>
      </w:r>
    </w:p>
    <w:p>
      <w:r>
        <w:t>The minimum conformance requirements are defined in clause 6.3.</w:t>
      </w:r>
      <w:r>
        <w:rPr>
          <w:lang w:eastAsia="ja-JP"/>
        </w:rPr>
        <w:t>4</w:t>
      </w:r>
      <w:r>
        <w:t>A.</w:t>
      </w:r>
      <w:r>
        <w:rPr>
          <w:lang w:eastAsia="ja-JP"/>
        </w:rPr>
        <w:t>0.</w:t>
      </w:r>
    </w:p>
    <w:p>
      <w:pPr>
        <w:pStyle w:val="H6"/>
      </w:pPr>
      <w:r>
        <w:t>6.3.4A.1.2.4</w:t>
      </w:r>
      <w:r>
        <w:tab/>
        <w:t>Test description</w:t>
      </w:r>
    </w:p>
    <w:p>
      <w:pPr>
        <w:pStyle w:val="H6"/>
      </w:pPr>
      <w:r>
        <w:t>6.3.4A.1.2.4.1</w:t>
      </w:r>
      <w:r>
        <w:tab/>
        <w:t>Initial conditions</w:t>
      </w:r>
    </w:p>
    <w:p>
      <w:r>
        <w:t>Same as in clause 6.3.4A.1.1.4.1 with the following exceptions: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>nstead of Table 5.4.2A.1-1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5.4.2A.1-2 for CA configurations with two bands or Table </w:t>
      </w:r>
      <w:r>
        <w:t xml:space="preserve">5.4.2A.1-2a </w:t>
      </w:r>
      <w:r>
        <w:rPr>
          <w:lang w:eastAsia="zh-CN"/>
        </w:rPr>
        <w:t>for CA configurations with three bands</w:t>
      </w:r>
      <w:r>
        <w:rPr>
          <w:rFonts w:eastAsia="SimSun"/>
          <w:lang w:eastAsia="zh-CN"/>
        </w:rPr>
        <w:t>.</w:t>
      </w:r>
    </w:p>
    <w:p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 xml:space="preserve">nstead of Table </w:t>
      </w:r>
      <w:r>
        <w:t>6.3.4A.1.1.4.1-1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</w:t>
      </w:r>
      <w:r>
        <w:t>6.3.4A.1.2.4.1-1</w:t>
      </w:r>
      <w:r>
        <w:rPr>
          <w:rFonts w:eastAsia="SimSun"/>
          <w:lang w:eastAsia="zh-CN"/>
        </w:rPr>
        <w:t>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Instead of clause </w:t>
      </w:r>
      <w:r>
        <w:t>6.3.4A.1.1.4.3</w:t>
      </w:r>
      <w:r>
        <w:rPr>
          <w:rFonts w:eastAsia="SimSun"/>
          <w:lang w:eastAsia="zh-CN"/>
        </w:rPr>
        <w:t xml:space="preserve"> use clause </w:t>
      </w:r>
      <w:r>
        <w:t>6.3.4A.1.2.4.3</w:t>
      </w:r>
      <w:r>
        <w:rPr>
          <w:rFonts w:eastAsia="SimSun"/>
          <w:lang w:eastAsia="zh-CN"/>
        </w:rPr>
        <w:t>.</w:t>
      </w:r>
      <w:r>
        <w:t xml:space="preserve"> </w:t>
      </w:r>
    </w:p>
    <w:p>
      <w:pPr>
        <w:pStyle w:val="TH"/>
      </w:pPr>
      <w:r>
        <w:lastRenderedPageBreak/>
        <w:t>Table 6.3.4A.1.2.4.1-1: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>Initial Conditions</w:t>
            </w:r>
          </w:p>
        </w:tc>
      </w:tr>
      <w:tr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Environment as specified in</w:t>
            </w:r>
            <w:r>
              <w:br/>
              <w:t>TS 36.508 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t>NC, TL/VL, TL/VH, TH/VL, TH/VH</w:t>
            </w:r>
          </w:p>
        </w:tc>
      </w:tr>
      <w:tr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Frequencies as specified in</w:t>
            </w:r>
          </w:p>
          <w:p>
            <w:pPr>
              <w:pStyle w:val="TAL"/>
            </w:pPr>
            <w: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</w:pPr>
            <w:r>
              <w:t>Low range for PCC and SCC</w:t>
            </w:r>
          </w:p>
          <w:p>
            <w:pPr>
              <w:pStyle w:val="TAL"/>
            </w:pPr>
            <w:r>
              <w:t>High range for PCC and SCC</w:t>
            </w:r>
          </w:p>
        </w:tc>
      </w:tr>
      <w:tr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>
            <w:pPr>
              <w:pStyle w:val="TAL"/>
              <w:rPr>
                <w:vertAlign w:val="subscript"/>
              </w:rPr>
            </w:pP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>
            <w:pPr>
              <w:pStyle w:val="TAL"/>
            </w:pPr>
            <w:r>
              <w:t>(Note 2)</w:t>
            </w:r>
          </w:p>
        </w:tc>
      </w:tr>
      <w:tr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t>Test Parameters for CA Configurations</w:t>
            </w:r>
          </w:p>
        </w:tc>
      </w:tr>
      <w:tr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  <w:r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PCC &amp; SCC RB allocations</w:t>
            </w:r>
            <w:r>
              <w:rPr>
                <w:b/>
              </w:rPr>
              <w:br/>
              <w:t>(L</w:t>
            </w:r>
            <w:r>
              <w:rPr>
                <w:b/>
                <w:vertAlign w:val="subscript"/>
              </w:rPr>
              <w:t>CRB</w:t>
            </w:r>
            <w:r>
              <w:rPr>
                <w:b/>
              </w:rPr>
              <w:t xml:space="preserve"> @ </w:t>
            </w:r>
            <w:proofErr w:type="spellStart"/>
            <w:r>
              <w:rPr>
                <w:b/>
              </w:rPr>
              <w:t>RB</w:t>
            </w:r>
            <w:r>
              <w:rPr>
                <w:b/>
                <w:vertAlign w:val="subscript"/>
              </w:rPr>
              <w:t>start</w:t>
            </w:r>
            <w:proofErr w:type="spellEnd"/>
            <w:r>
              <w:rPr>
                <w:b/>
              </w:rPr>
              <w:t>)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N/</w:t>
            </w:r>
            <w:proofErr w:type="spellStart"/>
            <w:r>
              <w:t>Afor</w:t>
            </w:r>
            <w:proofErr w:type="spellEnd"/>
            <w:r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del w:id="2" w:author="Kevin Wang (QMC)" w:date="2022-10-07T08:18:00Z">
              <w:r>
                <w:delText>S</w:delText>
              </w:r>
            </w:del>
            <w:ins w:id="3" w:author="Kevin Wang (QMC)" w:date="2022-10-07T08:18:00Z">
              <w:r>
                <w:t>P</w:t>
              </w:r>
            </w:ins>
            <w:r>
              <w:t>_</w:t>
            </w:r>
            <w:ins w:id="4" w:author="Kevin Wang (QMC)" w:date="2022-10-07T08:18:00Z">
              <w:r>
                <w:t>15</w:t>
              </w:r>
            </w:ins>
            <w:del w:id="5" w:author="Kevin Wang (QMC)" w:date="2022-10-07T08:18:00Z">
              <w:r>
                <w:delText>4</w:delText>
              </w:r>
            </w:del>
            <w:r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ins w:id="6" w:author="Kevin Wang (QMC)" w:date="2022-10-07T08:18:00Z">
              <w:r>
                <w:t>S</w:t>
              </w:r>
            </w:ins>
            <w:del w:id="7" w:author="Kevin Wang (QMC)" w:date="2022-10-07T08:18:00Z">
              <w:r>
                <w:delText>P</w:delText>
              </w:r>
            </w:del>
            <w:r>
              <w:t>_</w:t>
            </w:r>
            <w:ins w:id="8" w:author="Kevin Wang (QMC)" w:date="2022-10-07T08:18:00Z">
              <w:r>
                <w:t>25</w:t>
              </w:r>
            </w:ins>
            <w:del w:id="9" w:author="Kevin Wang (QMC)" w:date="2022-10-07T08:18:00Z">
              <w:r>
                <w:delText>8</w:delText>
              </w:r>
            </w:del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</w:t>
            </w:r>
            <w:ins w:id="10" w:author="Kevin Wang (QMC)" w:date="2022-10-07T08:19:00Z">
              <w:r>
                <w:t>25</w:t>
              </w:r>
            </w:ins>
            <w:del w:id="11" w:author="Kevin Wang (QMC)" w:date="2022-10-07T08:19:00Z">
              <w:r>
                <w:delText>8</w:delText>
              </w:r>
            </w:del>
            <w:r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</w:t>
            </w:r>
            <w:ins w:id="12" w:author="Kevin Wang (QMC)" w:date="2022-10-07T08:19:00Z">
              <w:r>
                <w:t>6</w:t>
              </w:r>
            </w:ins>
            <w:del w:id="13" w:author="Kevin Wang (QMC)" w:date="2022-10-07T08:19:00Z">
              <w:r>
                <w:delText>5</w:delText>
              </w:r>
            </w:del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N"/>
            </w:pPr>
            <w:r>
              <w:t>Note 1:</w:t>
            </w:r>
            <w:r>
              <w:tab/>
              <w:t>CA Configuration Test CC Combination settings are checked separately for each CA Configuration, which applicable aggregated channel bandwidths are specified in Table 5.4.2A.1-2.</w:t>
            </w:r>
          </w:p>
          <w:p>
            <w:pPr>
              <w:pStyle w:val="TAN"/>
            </w:pPr>
            <w:r>
              <w:t>Note 2:</w:t>
            </w:r>
            <w:r>
              <w:tab/>
              <w:t xml:space="preserve">If the UE supports multiple CC Combinations in the CA Configuration 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 only the combination with the highest NRB_PCC is tested.</w:t>
            </w:r>
          </w:p>
        </w:tc>
      </w:tr>
    </w:tbl>
    <w:p>
      <w:pPr>
        <w:rPr>
          <w:lang w:eastAsia="ja-JP"/>
        </w:rPr>
      </w:pP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.4.2</w:t>
      </w:r>
      <w:r>
        <w:tab/>
        <w:t>Test procedure</w:t>
      </w:r>
    </w:p>
    <w:p>
      <w:r>
        <w:t>Same test procedure as in clause 6.3.4A.1.1.4.2.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 xml:space="preserve">nstead of Table </w:t>
      </w:r>
      <w:r>
        <w:t>6.3.4A.1.1.4.1-1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</w:t>
      </w:r>
      <w:r>
        <w:t>6.3.4A.1.2.4.1-1</w:t>
      </w:r>
      <w:r>
        <w:rPr>
          <w:rFonts w:eastAsia="SimSun"/>
          <w:lang w:eastAsia="zh-CN"/>
        </w:rPr>
        <w:t>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Instead of clause </w:t>
      </w:r>
      <w:r>
        <w:t>6.3.4A.1.1.4.3</w:t>
      </w:r>
      <w:r>
        <w:rPr>
          <w:rFonts w:eastAsia="SimSun"/>
          <w:lang w:eastAsia="zh-CN"/>
        </w:rPr>
        <w:t xml:space="preserve"> use clause </w:t>
      </w:r>
      <w:r>
        <w:t>6.3.4A.1.2.4.3</w:t>
      </w:r>
      <w:r>
        <w:rPr>
          <w:rFonts w:eastAsia="SimSun"/>
          <w:lang w:eastAsia="zh-CN"/>
        </w:rPr>
        <w:t>.</w:t>
      </w: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.4.3</w:t>
      </w:r>
      <w:r>
        <w:tab/>
        <w:t>Message contents</w:t>
      </w:r>
    </w:p>
    <w:p>
      <w:r>
        <w:t>The message contents are the same as in clause 6.3.4A.1.</w:t>
      </w:r>
      <w:r>
        <w:rPr>
          <w:lang w:eastAsia="ja-JP"/>
        </w:rPr>
        <w:t>1</w:t>
      </w:r>
      <w:r>
        <w:t>.4.3.</w:t>
      </w: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.5</w:t>
      </w:r>
      <w:r>
        <w:tab/>
        <w:t>Test requirement</w:t>
      </w:r>
    </w:p>
    <w:p>
      <w:r>
        <w:t>The requirement for the power measured in steps 5, 6 and 7 of the test procedure shall not exceed the values specified in Table 6.3.4A.1.</w:t>
      </w:r>
      <w:r>
        <w:rPr>
          <w:lang w:eastAsia="ja-JP"/>
        </w:rPr>
        <w:t>2</w:t>
      </w:r>
      <w:r>
        <w:t>.5</w:t>
      </w:r>
      <w:r>
        <w:rPr>
          <w:bCs/>
          <w:lang w:eastAsia="de-DE"/>
        </w:rPr>
        <w:t>-1</w:t>
      </w:r>
      <w:r>
        <w:rPr>
          <w:lang w:eastAsia="zh-CN"/>
        </w:rPr>
        <w:t>.</w:t>
      </w:r>
    </w:p>
    <w:p>
      <w:pPr>
        <w:pStyle w:val="TH"/>
      </w:pPr>
      <w:r>
        <w:t>Table 6.3.4A.1.2.5-1: General ON/OFF time mask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>
        <w:tc>
          <w:tcPr>
            <w:tcW w:w="1795" w:type="dxa"/>
            <w:vMerge w:val="restart"/>
          </w:tcPr>
          <w:p>
            <w:pPr>
              <w:pStyle w:val="TAH"/>
            </w:pPr>
          </w:p>
        </w:tc>
        <w:tc>
          <w:tcPr>
            <w:tcW w:w="5869" w:type="dxa"/>
            <w:gridSpan w:val="6"/>
          </w:tcPr>
          <w:p>
            <w:pPr>
              <w:pStyle w:val="TAH"/>
            </w:pPr>
            <w:r>
              <w:t>Channel bandwidth / minimum output power / measurement bandwidth</w:t>
            </w:r>
          </w:p>
        </w:tc>
      </w:tr>
      <w:tr>
        <w:tc>
          <w:tcPr>
            <w:tcW w:w="1795" w:type="dxa"/>
            <w:vMerge/>
          </w:tcPr>
          <w:p/>
        </w:tc>
        <w:tc>
          <w:tcPr>
            <w:tcW w:w="1036" w:type="dxa"/>
          </w:tcPr>
          <w:p>
            <w:pPr>
              <w:pStyle w:val="TAH"/>
            </w:pPr>
            <w:r>
              <w:t>1.4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46" w:type="dxa"/>
          </w:tcPr>
          <w:p>
            <w:pPr>
              <w:pStyle w:val="TAH"/>
            </w:pPr>
            <w:r>
              <w:t>3.0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1004" w:type="dxa"/>
          </w:tcPr>
          <w:p>
            <w:pPr>
              <w:pStyle w:val="TAH"/>
            </w:pPr>
            <w:r>
              <w:t>5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46" w:type="dxa"/>
          </w:tcPr>
          <w:p>
            <w:pPr>
              <w:pStyle w:val="TAH"/>
            </w:pPr>
            <w:r>
              <w:t>10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1036" w:type="dxa"/>
          </w:tcPr>
          <w:p>
            <w:pPr>
              <w:pStyle w:val="TAH"/>
            </w:pPr>
            <w:r>
              <w:t>15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01" w:type="dxa"/>
          </w:tcPr>
          <w:p>
            <w:pPr>
              <w:pStyle w:val="TAH"/>
            </w:pPr>
            <w:r>
              <w:t>20</w:t>
            </w:r>
          </w:p>
          <w:p>
            <w:pPr>
              <w:pStyle w:val="TAH"/>
            </w:pPr>
            <w:r>
              <w:t>MHz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lastRenderedPageBreak/>
              <w:t>Transmit OFF power</w:t>
            </w:r>
          </w:p>
        </w:tc>
        <w:tc>
          <w:tcPr>
            <w:tcW w:w="5869" w:type="dxa"/>
            <w:gridSpan w:val="6"/>
            <w:vAlign w:val="center"/>
          </w:tcPr>
          <w:p>
            <w:pPr>
              <w:pStyle w:val="TAC"/>
            </w:pPr>
            <w:r>
              <w:rPr>
                <w:rFonts w:cs="v4.2.0"/>
              </w:rPr>
              <w:t xml:space="preserve">For carrier frequency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3.0GHz: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t>-48.5 dBm</w:t>
            </w:r>
          </w:p>
          <w:p>
            <w:pPr>
              <w:pStyle w:val="TAC"/>
            </w:pPr>
            <w:r>
              <w:rPr>
                <w:rFonts w:cs="v4.2.0"/>
              </w:rPr>
              <w:t xml:space="preserve">For carrier frequency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4.2GHz: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t>-48.2 dBm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Transmission OFF Measurement bandwidth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1.08 MHz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2.7 MHz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t>4.5 MHz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9.0 MHz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13.5 MHz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t>18 MHz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Expected Transmission ON Measured power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-14.8 dBm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-10.8 dBm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t>-8.6 dBm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-5.6 dBm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-3.9 dBm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t>-2.6 dBm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ON power tolerance</w:t>
            </w:r>
          </w:p>
          <w:p>
            <w:pPr>
              <w:pStyle w:val="TAL"/>
            </w:pPr>
            <w:r>
              <w:rPr>
                <w:rFonts w:cs="v4.2.0"/>
              </w:rPr>
              <w:t xml:space="preserve">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</w:t>
            </w:r>
          </w:p>
          <w:p>
            <w:pPr>
              <w:pStyle w:val="TAL"/>
              <w:rPr>
                <w:rFonts w:cs="v4.2.0"/>
              </w:rPr>
            </w:pPr>
            <w:r>
              <w:t xml:space="preserve">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</w:rP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1647</TotalTime>
  <Pages>4</Pages>
  <Words>885</Words>
  <Characters>5320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2022-11-11T04:17:00Z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